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2AC1C" w14:textId="77777777" w:rsidR="00252842" w:rsidRPr="00252842" w:rsidRDefault="00252842" w:rsidP="00252842">
      <w:pPr>
        <w:shd w:val="pct10" w:color="auto" w:fill="FFFFFF"/>
        <w:spacing w:after="0" w:line="225" w:lineRule="exact"/>
        <w:jc w:val="center"/>
        <w:rPr>
          <w:rFonts w:ascii="Times New Roman" w:eastAsia="Times" w:hAnsi="Times New Roman" w:cs="Times New Roman"/>
          <w:sz w:val="24"/>
          <w:szCs w:val="24"/>
        </w:rPr>
      </w:pPr>
      <w:r w:rsidRPr="00252842">
        <w:rPr>
          <w:rFonts w:ascii="Times New Roman" w:eastAsia="Times" w:hAnsi="Times New Roman" w:cs="Times New Roman"/>
          <w:sz w:val="24"/>
          <w:szCs w:val="24"/>
        </w:rPr>
        <w:t>APPENDIX H</w:t>
      </w:r>
    </w:p>
    <w:p w14:paraId="0F619175" w14:textId="77777777" w:rsidR="00252842" w:rsidRPr="00252842" w:rsidRDefault="00252842" w:rsidP="00252842">
      <w:pPr>
        <w:spacing w:after="0" w:line="225" w:lineRule="exact"/>
        <w:jc w:val="center"/>
        <w:rPr>
          <w:rFonts w:ascii="Times New Roman" w:eastAsia="Times" w:hAnsi="Times New Roman" w:cs="Times New Roman"/>
          <w:sz w:val="24"/>
          <w:szCs w:val="24"/>
        </w:rPr>
      </w:pPr>
      <w:r w:rsidRPr="00252842">
        <w:rPr>
          <w:rFonts w:ascii="Times New Roman" w:eastAsia="Times" w:hAnsi="Times New Roman" w:cs="Times New Roman"/>
          <w:sz w:val="24"/>
          <w:szCs w:val="24"/>
        </w:rPr>
        <w:t>MEMORANDUMS OF UNDERSTANDING</w:t>
      </w:r>
    </w:p>
    <w:p w14:paraId="2D15DC78" w14:textId="77777777" w:rsidR="00252842" w:rsidRPr="00252842" w:rsidRDefault="00252842" w:rsidP="00252842">
      <w:pPr>
        <w:tabs>
          <w:tab w:val="left" w:pos="-1440"/>
          <w:tab w:val="left" w:pos="1080"/>
          <w:tab w:val="left" w:pos="1495"/>
          <w:tab w:val="left" w:pos="1827"/>
          <w:tab w:val="left" w:pos="2120"/>
          <w:tab w:val="left" w:pos="5760"/>
        </w:tabs>
        <w:suppressAutoHyphens/>
        <w:spacing w:after="0" w:line="240" w:lineRule="auto"/>
        <w:jc w:val="both"/>
        <w:rPr>
          <w:rFonts w:ascii="Times" w:eastAsia="Times" w:hAnsi="Times" w:cs="Times New Roman"/>
          <w:b/>
          <w:color w:val="000000"/>
          <w:spacing w:val="-3"/>
          <w:sz w:val="24"/>
          <w:szCs w:val="20"/>
        </w:rPr>
      </w:pPr>
    </w:p>
    <w:p w14:paraId="3AB7AC74" w14:textId="77777777" w:rsidR="00252842" w:rsidRPr="00252842" w:rsidRDefault="00252842" w:rsidP="00252842">
      <w:pPr>
        <w:spacing w:after="0" w:line="240" w:lineRule="auto"/>
        <w:jc w:val="center"/>
        <w:outlineLvl w:val="0"/>
        <w:rPr>
          <w:rFonts w:ascii="Times New Roman" w:eastAsia="Times" w:hAnsi="Times New Roman" w:cs="Times New Roman"/>
          <w:b/>
          <w:sz w:val="28"/>
          <w:szCs w:val="28"/>
        </w:rPr>
      </w:pPr>
      <w:r w:rsidRPr="00252842">
        <w:rPr>
          <w:rFonts w:ascii="Times New Roman" w:eastAsia="Times" w:hAnsi="Times New Roman" w:cs="Times New Roman"/>
          <w:b/>
          <w:sz w:val="28"/>
          <w:szCs w:val="28"/>
        </w:rPr>
        <w:t>No. XX</w:t>
      </w:r>
    </w:p>
    <w:p w14:paraId="335FB535" w14:textId="77777777" w:rsidR="00252842" w:rsidRPr="00252842" w:rsidRDefault="00252842" w:rsidP="00252842">
      <w:pPr>
        <w:spacing w:after="0" w:line="240" w:lineRule="auto"/>
        <w:jc w:val="center"/>
        <w:rPr>
          <w:rFonts w:ascii="Times New Roman" w:eastAsia="Times" w:hAnsi="Times New Roman" w:cs="Times New Roman"/>
          <w:b/>
          <w:sz w:val="24"/>
          <w:szCs w:val="24"/>
        </w:rPr>
      </w:pPr>
    </w:p>
    <w:p w14:paraId="79B78EA3" w14:textId="77777777" w:rsidR="00252842" w:rsidRPr="00252842" w:rsidRDefault="009104E5" w:rsidP="00252842">
      <w:pPr>
        <w:spacing w:after="0" w:line="240" w:lineRule="auto"/>
        <w:jc w:val="center"/>
        <w:rPr>
          <w:rFonts w:ascii="Times New Roman" w:eastAsia="Times" w:hAnsi="Times New Roman" w:cs="Times New Roman"/>
          <w:b/>
          <w:caps/>
          <w:color w:val="FF0000"/>
          <w:sz w:val="24"/>
          <w:szCs w:val="23"/>
          <w:u w:val="single"/>
        </w:rPr>
      </w:pPr>
      <w:r>
        <w:rPr>
          <w:rFonts w:ascii="Times New Roman" w:eastAsia="Times" w:hAnsi="Times New Roman" w:cs="Times New Roman"/>
          <w:b/>
          <w:caps/>
          <w:sz w:val="24"/>
          <w:szCs w:val="23"/>
          <w:u w:val="single"/>
        </w:rPr>
        <w:t xml:space="preserve">PRe- 65 Retiree Medical </w:t>
      </w:r>
      <w:r w:rsidR="00252842" w:rsidRPr="00252842">
        <w:rPr>
          <w:rFonts w:ascii="Times New Roman" w:eastAsia="Times" w:hAnsi="Times New Roman" w:cs="Times New Roman"/>
          <w:b/>
          <w:caps/>
          <w:sz w:val="24"/>
          <w:szCs w:val="23"/>
          <w:u w:val="single"/>
        </w:rPr>
        <w:t xml:space="preserve">InCENTIVES </w:t>
      </w:r>
    </w:p>
    <w:p w14:paraId="11E801FF" w14:textId="77777777" w:rsidR="00252842" w:rsidRPr="00252842" w:rsidRDefault="00252842" w:rsidP="00252842">
      <w:pPr>
        <w:spacing w:after="0" w:line="240" w:lineRule="auto"/>
        <w:jc w:val="both"/>
        <w:rPr>
          <w:rFonts w:ascii="Times New Roman" w:eastAsia="Times" w:hAnsi="Times New Roman" w:cs="Times New Roman"/>
          <w:b/>
          <w:color w:val="FF0000"/>
          <w:sz w:val="24"/>
          <w:szCs w:val="24"/>
        </w:rPr>
      </w:pPr>
    </w:p>
    <w:p w14:paraId="0CA15401" w14:textId="77777777" w:rsidR="00252842" w:rsidRPr="00252842" w:rsidRDefault="00252842" w:rsidP="00252842">
      <w:pPr>
        <w:spacing w:after="0" w:line="226" w:lineRule="auto"/>
        <w:jc w:val="both"/>
        <w:rPr>
          <w:rFonts w:ascii="Times New Roman" w:eastAsia="Times" w:hAnsi="Times New Roman" w:cs="Times New Roman"/>
          <w:b/>
          <w:sz w:val="24"/>
          <w:szCs w:val="24"/>
        </w:rPr>
      </w:pPr>
    </w:p>
    <w:p w14:paraId="24205EF7" w14:textId="77777777" w:rsidR="00252842" w:rsidRPr="00252842" w:rsidRDefault="00252842" w:rsidP="00252842">
      <w:pPr>
        <w:spacing w:after="0" w:line="226" w:lineRule="auto"/>
        <w:jc w:val="both"/>
        <w:rPr>
          <w:rFonts w:ascii="Times New Roman" w:eastAsia="Times" w:hAnsi="Times New Roman" w:cs="Times New Roman"/>
          <w:b/>
          <w:sz w:val="24"/>
          <w:szCs w:val="24"/>
        </w:rPr>
      </w:pPr>
      <w:r w:rsidRPr="00252842">
        <w:rPr>
          <w:rFonts w:ascii="Times New Roman" w:eastAsia="Times" w:hAnsi="Times New Roman" w:cs="Times New Roman"/>
          <w:b/>
          <w:sz w:val="24"/>
          <w:szCs w:val="24"/>
        </w:rPr>
        <w:t>This will confirm our discussions and the mutual understandings reached during the 2019 labor contract negotiations concerning the subject:</w:t>
      </w:r>
    </w:p>
    <w:p w14:paraId="08E7F0D7" w14:textId="77777777" w:rsidR="00252842" w:rsidRPr="00252842" w:rsidRDefault="00252842" w:rsidP="00252842">
      <w:pPr>
        <w:spacing w:after="0" w:line="226" w:lineRule="auto"/>
        <w:jc w:val="both"/>
        <w:rPr>
          <w:rFonts w:ascii="Times New Roman" w:eastAsia="Times" w:hAnsi="Times New Roman" w:cs="Times New Roman"/>
          <w:b/>
          <w:sz w:val="24"/>
          <w:szCs w:val="24"/>
        </w:rPr>
      </w:pPr>
    </w:p>
    <w:p w14:paraId="450F2A0B" w14:textId="77777777" w:rsidR="00252842" w:rsidRPr="00252842" w:rsidRDefault="00252842" w:rsidP="00252842">
      <w:pPr>
        <w:numPr>
          <w:ilvl w:val="0"/>
          <w:numId w:val="1"/>
        </w:numPr>
        <w:spacing w:after="0" w:line="226" w:lineRule="auto"/>
        <w:ind w:left="720"/>
        <w:contextualSpacing/>
        <w:jc w:val="both"/>
        <w:rPr>
          <w:rFonts w:ascii="Times New Roman" w:eastAsia="Times" w:hAnsi="Times New Roman" w:cs="Times New Roman"/>
          <w:b/>
          <w:strike/>
          <w:sz w:val="24"/>
          <w:szCs w:val="24"/>
        </w:rPr>
      </w:pPr>
      <w:r w:rsidRPr="00252842">
        <w:rPr>
          <w:rFonts w:ascii="Times New Roman" w:eastAsia="Times" w:hAnsi="Times New Roman" w:cs="Times New Roman"/>
          <w:b/>
          <w:sz w:val="24"/>
          <w:szCs w:val="24"/>
        </w:rPr>
        <w:t xml:space="preserve">The Company, at its sole discretion, may elect to offer </w:t>
      </w:r>
      <w:r w:rsidR="0092175E">
        <w:rPr>
          <w:rFonts w:ascii="Times New Roman" w:eastAsia="Times" w:hAnsi="Times New Roman" w:cs="Times New Roman"/>
          <w:b/>
          <w:sz w:val="24"/>
          <w:szCs w:val="24"/>
        </w:rPr>
        <w:t>P</w:t>
      </w:r>
      <w:r w:rsidR="009A5483">
        <w:rPr>
          <w:rFonts w:ascii="Times New Roman" w:eastAsia="Times" w:hAnsi="Times New Roman" w:cs="Times New Roman"/>
          <w:b/>
          <w:sz w:val="24"/>
          <w:szCs w:val="24"/>
        </w:rPr>
        <w:t>re</w:t>
      </w:r>
      <w:r w:rsidR="0092175E">
        <w:rPr>
          <w:rFonts w:ascii="Times New Roman" w:eastAsia="Times" w:hAnsi="Times New Roman" w:cs="Times New Roman"/>
          <w:b/>
          <w:sz w:val="24"/>
          <w:szCs w:val="24"/>
        </w:rPr>
        <w:t>-65 Retiree Medical</w:t>
      </w:r>
      <w:r w:rsidRPr="00252842">
        <w:rPr>
          <w:rFonts w:ascii="Times New Roman" w:eastAsia="Times" w:hAnsi="Times New Roman" w:cs="Times New Roman"/>
          <w:b/>
          <w:sz w:val="24"/>
          <w:szCs w:val="24"/>
        </w:rPr>
        <w:t xml:space="preserve"> </w:t>
      </w:r>
      <w:r w:rsidR="0092175E">
        <w:rPr>
          <w:rFonts w:ascii="Times New Roman" w:eastAsia="Times" w:hAnsi="Times New Roman" w:cs="Times New Roman"/>
          <w:b/>
          <w:sz w:val="24"/>
          <w:szCs w:val="24"/>
        </w:rPr>
        <w:t>I</w:t>
      </w:r>
      <w:r w:rsidRPr="00252842">
        <w:rPr>
          <w:rFonts w:ascii="Times New Roman" w:eastAsia="Times" w:hAnsi="Times New Roman" w:cs="Times New Roman"/>
          <w:b/>
          <w:sz w:val="24"/>
          <w:szCs w:val="24"/>
        </w:rPr>
        <w:t>ncentives (the “Special Incentives”) to a predetermined number of employees who, at the sole discretion of the Company, are deemed eligible as of the effective date determined.</w:t>
      </w:r>
    </w:p>
    <w:p w14:paraId="71CCBBD7" w14:textId="77777777" w:rsidR="00252842" w:rsidRPr="00252842" w:rsidRDefault="00252842" w:rsidP="0092175E">
      <w:pPr>
        <w:spacing w:after="0" w:line="226" w:lineRule="auto"/>
        <w:contextualSpacing/>
        <w:jc w:val="both"/>
        <w:rPr>
          <w:rFonts w:ascii="Times New Roman" w:eastAsia="Times" w:hAnsi="Times New Roman" w:cs="Times New Roman"/>
          <w:b/>
          <w:strike/>
          <w:sz w:val="24"/>
          <w:szCs w:val="24"/>
        </w:rPr>
      </w:pPr>
    </w:p>
    <w:p w14:paraId="564F0AC2" w14:textId="77777777" w:rsidR="00252842" w:rsidRPr="00252842" w:rsidRDefault="00252842" w:rsidP="00252842">
      <w:pPr>
        <w:numPr>
          <w:ilvl w:val="0"/>
          <w:numId w:val="1"/>
        </w:numPr>
        <w:spacing w:after="0" w:line="226" w:lineRule="auto"/>
        <w:ind w:left="720"/>
        <w:contextualSpacing/>
        <w:jc w:val="both"/>
        <w:rPr>
          <w:rFonts w:ascii="Times New Roman" w:eastAsia="Times" w:hAnsi="Times New Roman" w:cs="Times New Roman"/>
          <w:b/>
          <w:sz w:val="24"/>
          <w:szCs w:val="24"/>
        </w:rPr>
      </w:pPr>
      <w:r w:rsidRPr="00252842">
        <w:rPr>
          <w:rFonts w:ascii="Times New Roman" w:eastAsia="Times" w:hAnsi="Times New Roman" w:cs="Times New Roman"/>
          <w:b/>
          <w:sz w:val="24"/>
          <w:szCs w:val="24"/>
        </w:rPr>
        <w:t>In the event the Company elects to offer Special Incentives, the Company may at its sole discretion engage in the following:</w:t>
      </w:r>
    </w:p>
    <w:p w14:paraId="315CA4CC" w14:textId="77777777" w:rsidR="00252842" w:rsidRPr="00252842" w:rsidRDefault="00252842" w:rsidP="00252842">
      <w:pPr>
        <w:spacing w:after="0" w:line="226" w:lineRule="auto"/>
        <w:contextualSpacing/>
        <w:jc w:val="both"/>
        <w:rPr>
          <w:rFonts w:ascii="Times New Roman" w:eastAsia="Times" w:hAnsi="Times New Roman" w:cs="Times New Roman"/>
          <w:b/>
          <w:sz w:val="24"/>
          <w:szCs w:val="24"/>
        </w:rPr>
      </w:pPr>
    </w:p>
    <w:p w14:paraId="4A2AE44D" w14:textId="77777777" w:rsidR="00252842" w:rsidRPr="008F3EEC" w:rsidRDefault="00252842" w:rsidP="008F3EEC">
      <w:pPr>
        <w:pStyle w:val="ListParagraph"/>
        <w:numPr>
          <w:ilvl w:val="0"/>
          <w:numId w:val="2"/>
        </w:numPr>
        <w:spacing w:after="0" w:line="226" w:lineRule="auto"/>
        <w:jc w:val="both"/>
        <w:rPr>
          <w:rFonts w:ascii="Times New Roman" w:eastAsia="Times" w:hAnsi="Times New Roman" w:cs="Times New Roman"/>
          <w:b/>
          <w:sz w:val="24"/>
          <w:szCs w:val="24"/>
        </w:rPr>
      </w:pPr>
      <w:r w:rsidRPr="008F3EEC">
        <w:rPr>
          <w:rFonts w:ascii="Times New Roman" w:eastAsia="Times" w:hAnsi="Times New Roman" w:cs="Times New Roman"/>
          <w:b/>
          <w:sz w:val="24"/>
          <w:szCs w:val="24"/>
        </w:rPr>
        <w:t>establishing, offering, administering, and interpreting all aspects of any offer;</w:t>
      </w:r>
    </w:p>
    <w:p w14:paraId="6A852EAB" w14:textId="77777777" w:rsidR="00252842" w:rsidRPr="00252842" w:rsidRDefault="00252842" w:rsidP="00252842">
      <w:pPr>
        <w:spacing w:after="0" w:line="226" w:lineRule="auto"/>
        <w:ind w:left="1440" w:hanging="450"/>
        <w:contextualSpacing/>
        <w:jc w:val="both"/>
        <w:rPr>
          <w:rFonts w:ascii="Times New Roman" w:eastAsia="Times" w:hAnsi="Times New Roman" w:cs="Times New Roman"/>
          <w:b/>
          <w:sz w:val="24"/>
          <w:szCs w:val="24"/>
        </w:rPr>
      </w:pPr>
    </w:p>
    <w:p w14:paraId="125C4804" w14:textId="77777777" w:rsidR="00252842" w:rsidRPr="008F3EEC" w:rsidRDefault="00252842" w:rsidP="008F3EEC">
      <w:pPr>
        <w:pStyle w:val="ListParagraph"/>
        <w:numPr>
          <w:ilvl w:val="0"/>
          <w:numId w:val="2"/>
        </w:numPr>
        <w:spacing w:after="0" w:line="226" w:lineRule="auto"/>
        <w:jc w:val="both"/>
        <w:rPr>
          <w:rFonts w:ascii="Times New Roman" w:eastAsia="Times" w:hAnsi="Times New Roman" w:cs="Times New Roman"/>
          <w:b/>
          <w:sz w:val="24"/>
          <w:szCs w:val="24"/>
        </w:rPr>
      </w:pPr>
      <w:r w:rsidRPr="008F3EEC">
        <w:rPr>
          <w:rFonts w:ascii="Times New Roman" w:eastAsia="Times" w:hAnsi="Times New Roman" w:cs="Times New Roman"/>
          <w:b/>
          <w:sz w:val="24"/>
          <w:szCs w:val="24"/>
        </w:rPr>
        <w:t>defining terms and conditions, establishing eligibility requirements, and determining Special Incentives;</w:t>
      </w:r>
    </w:p>
    <w:p w14:paraId="79437886" w14:textId="77777777" w:rsidR="00252842" w:rsidRPr="00252842" w:rsidRDefault="00252842" w:rsidP="00252842">
      <w:pPr>
        <w:spacing w:after="0" w:line="226" w:lineRule="auto"/>
        <w:ind w:left="1440" w:hanging="450"/>
        <w:contextualSpacing/>
        <w:jc w:val="both"/>
        <w:rPr>
          <w:rFonts w:ascii="Times New Roman" w:eastAsia="Times" w:hAnsi="Times New Roman" w:cs="Times New Roman"/>
          <w:b/>
          <w:sz w:val="24"/>
          <w:szCs w:val="24"/>
        </w:rPr>
      </w:pPr>
    </w:p>
    <w:p w14:paraId="2C7399ED" w14:textId="77777777" w:rsidR="00252842" w:rsidRPr="008F3EEC" w:rsidRDefault="00252842" w:rsidP="008F3EEC">
      <w:pPr>
        <w:pStyle w:val="ListParagraph"/>
        <w:numPr>
          <w:ilvl w:val="0"/>
          <w:numId w:val="2"/>
        </w:numPr>
        <w:spacing w:after="0" w:line="226" w:lineRule="auto"/>
        <w:jc w:val="both"/>
        <w:rPr>
          <w:rFonts w:ascii="Times New Roman" w:eastAsia="Times" w:hAnsi="Times New Roman" w:cs="Times New Roman"/>
          <w:b/>
          <w:sz w:val="24"/>
          <w:szCs w:val="24"/>
        </w:rPr>
      </w:pPr>
      <w:r w:rsidRPr="008F3EEC">
        <w:rPr>
          <w:rFonts w:ascii="Times New Roman" w:eastAsia="Times" w:hAnsi="Times New Roman" w:cs="Times New Roman"/>
          <w:b/>
          <w:sz w:val="24"/>
          <w:szCs w:val="24"/>
        </w:rPr>
        <w:t>amending or terminating at any time with or without prior notice and with or without regard to whether any Special Incentives are paid; and</w:t>
      </w:r>
    </w:p>
    <w:p w14:paraId="69E4ECA4" w14:textId="77777777" w:rsidR="00252842" w:rsidRPr="00252842" w:rsidRDefault="00252842" w:rsidP="00252842">
      <w:pPr>
        <w:spacing w:after="0" w:line="226" w:lineRule="auto"/>
        <w:ind w:left="1440" w:hanging="450"/>
        <w:contextualSpacing/>
        <w:jc w:val="both"/>
        <w:rPr>
          <w:rFonts w:ascii="Times New Roman" w:eastAsia="Times" w:hAnsi="Times New Roman" w:cs="Times New Roman"/>
          <w:b/>
          <w:sz w:val="24"/>
          <w:szCs w:val="24"/>
        </w:rPr>
      </w:pPr>
    </w:p>
    <w:p w14:paraId="0E573DBA" w14:textId="77777777" w:rsidR="00252842" w:rsidRPr="008F3EEC" w:rsidRDefault="00252842" w:rsidP="008F3EEC">
      <w:pPr>
        <w:pStyle w:val="ListParagraph"/>
        <w:numPr>
          <w:ilvl w:val="0"/>
          <w:numId w:val="2"/>
        </w:numPr>
        <w:spacing w:after="0" w:line="226" w:lineRule="auto"/>
        <w:jc w:val="both"/>
        <w:rPr>
          <w:rFonts w:ascii="Times New Roman" w:eastAsia="Times" w:hAnsi="Times New Roman" w:cs="Times New Roman"/>
          <w:b/>
          <w:sz w:val="24"/>
          <w:szCs w:val="24"/>
        </w:rPr>
      </w:pPr>
      <w:r w:rsidRPr="008F3EEC">
        <w:rPr>
          <w:rFonts w:ascii="Times New Roman" w:eastAsia="Times" w:hAnsi="Times New Roman" w:cs="Times New Roman"/>
          <w:b/>
          <w:sz w:val="24"/>
          <w:szCs w:val="24"/>
        </w:rPr>
        <w:t xml:space="preserve">deciding all issues or disputes arising under or relating to Special Incentive Offers.  No matter </w:t>
      </w:r>
      <w:r w:rsidR="00CE7546" w:rsidRPr="008F3EEC">
        <w:rPr>
          <w:rFonts w:ascii="Times New Roman" w:eastAsia="Times" w:hAnsi="Times New Roman" w:cs="Times New Roman"/>
          <w:b/>
          <w:sz w:val="24"/>
          <w:szCs w:val="24"/>
        </w:rPr>
        <w:t>respecting any</w:t>
      </w:r>
      <w:r w:rsidRPr="008F3EEC">
        <w:rPr>
          <w:rFonts w:ascii="Times New Roman" w:eastAsia="Times" w:hAnsi="Times New Roman" w:cs="Times New Roman"/>
          <w:b/>
          <w:sz w:val="24"/>
          <w:szCs w:val="24"/>
        </w:rPr>
        <w:t xml:space="preserve"> differences arising thereunder shall be subject to any grievance and/or arbitration procedure established by any other agreement between the parties.  </w:t>
      </w:r>
    </w:p>
    <w:p w14:paraId="43E7BC7F" w14:textId="77777777" w:rsidR="00252842" w:rsidRPr="00252842" w:rsidRDefault="00252842" w:rsidP="00252842">
      <w:pPr>
        <w:spacing w:after="0" w:line="226" w:lineRule="auto"/>
        <w:ind w:left="1440" w:hanging="450"/>
        <w:contextualSpacing/>
        <w:jc w:val="both"/>
        <w:rPr>
          <w:rFonts w:ascii="Times New Roman" w:eastAsia="Times" w:hAnsi="Times New Roman" w:cs="Times New Roman"/>
          <w:b/>
          <w:sz w:val="24"/>
          <w:szCs w:val="24"/>
        </w:rPr>
      </w:pPr>
    </w:p>
    <w:p w14:paraId="2C372942" w14:textId="77777777" w:rsidR="00252842" w:rsidRPr="008F3EEC" w:rsidRDefault="00252842" w:rsidP="008F3EEC">
      <w:pPr>
        <w:pStyle w:val="ListParagraph"/>
        <w:numPr>
          <w:ilvl w:val="0"/>
          <w:numId w:val="2"/>
        </w:numPr>
        <w:spacing w:after="0" w:line="226" w:lineRule="auto"/>
        <w:jc w:val="both"/>
        <w:rPr>
          <w:rFonts w:ascii="Times New Roman" w:eastAsia="Times" w:hAnsi="Times New Roman" w:cs="Times New Roman"/>
          <w:b/>
          <w:sz w:val="24"/>
          <w:szCs w:val="24"/>
        </w:rPr>
      </w:pPr>
      <w:r w:rsidRPr="008F3EEC">
        <w:rPr>
          <w:rFonts w:ascii="Times New Roman" w:eastAsia="Times" w:hAnsi="Times New Roman" w:cs="Times New Roman"/>
          <w:b/>
          <w:sz w:val="24"/>
          <w:szCs w:val="24"/>
        </w:rPr>
        <w:t xml:space="preserve">The Company will prepare and adopt a plan document outlining </w:t>
      </w:r>
      <w:proofErr w:type="gramStart"/>
      <w:r w:rsidRPr="008F3EEC">
        <w:rPr>
          <w:rFonts w:ascii="Times New Roman" w:eastAsia="Times" w:hAnsi="Times New Roman" w:cs="Times New Roman"/>
          <w:b/>
          <w:sz w:val="24"/>
          <w:szCs w:val="24"/>
        </w:rPr>
        <w:t>all of</w:t>
      </w:r>
      <w:proofErr w:type="gramEnd"/>
      <w:r w:rsidRPr="008F3EEC">
        <w:rPr>
          <w:rFonts w:ascii="Times New Roman" w:eastAsia="Times" w:hAnsi="Times New Roman" w:cs="Times New Roman"/>
          <w:b/>
          <w:sz w:val="24"/>
          <w:szCs w:val="24"/>
        </w:rPr>
        <w:t xml:space="preserve"> the above points, if it decides to offer Special Incentives.</w:t>
      </w:r>
    </w:p>
    <w:p w14:paraId="5B3689A3" w14:textId="77777777" w:rsidR="00252842" w:rsidRPr="00252842" w:rsidRDefault="00252842" w:rsidP="00252842">
      <w:pPr>
        <w:spacing w:after="0" w:line="226" w:lineRule="auto"/>
        <w:jc w:val="both"/>
        <w:rPr>
          <w:rFonts w:ascii="Times New Roman" w:eastAsia="Times" w:hAnsi="Times New Roman" w:cs="Times New Roman"/>
          <w:b/>
          <w:sz w:val="24"/>
          <w:szCs w:val="24"/>
        </w:rPr>
      </w:pPr>
    </w:p>
    <w:p w14:paraId="564B290D" w14:textId="77777777" w:rsidR="00252842" w:rsidRPr="00252842" w:rsidRDefault="00252842" w:rsidP="00252842">
      <w:pPr>
        <w:widowControl w:val="0"/>
        <w:numPr>
          <w:ilvl w:val="0"/>
          <w:numId w:val="1"/>
        </w:numPr>
        <w:autoSpaceDE w:val="0"/>
        <w:autoSpaceDN w:val="0"/>
        <w:adjustRightInd w:val="0"/>
        <w:spacing w:after="240" w:line="226" w:lineRule="auto"/>
        <w:ind w:left="720"/>
        <w:contextualSpacing/>
        <w:jc w:val="both"/>
        <w:rPr>
          <w:rFonts w:ascii="Times New Roman" w:eastAsia="Times" w:hAnsi="Times New Roman" w:cs="Times New Roman"/>
          <w:b/>
          <w:bCs/>
          <w:sz w:val="24"/>
          <w:szCs w:val="24"/>
        </w:rPr>
      </w:pPr>
      <w:r w:rsidRPr="00252842">
        <w:rPr>
          <w:rFonts w:ascii="Times New Roman" w:eastAsia="Times" w:hAnsi="Times New Roman" w:cs="Times New Roman"/>
          <w:b/>
          <w:sz w:val="24"/>
          <w:szCs w:val="24"/>
        </w:rPr>
        <w:t xml:space="preserve">If the Company elects to offer Special Incentives during the life of this Agreement such offers would be non-precedent setting as between the Union and the Company.  </w:t>
      </w:r>
    </w:p>
    <w:p w14:paraId="1C72B4B6" w14:textId="77777777" w:rsidR="00252842" w:rsidRDefault="00252842">
      <w:bookmarkStart w:id="0" w:name="_GoBack"/>
      <w:bookmarkEnd w:id="0"/>
    </w:p>
    <w:sectPr w:rsidR="0025284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6432D" w14:textId="77777777" w:rsidR="007E379B" w:rsidRDefault="007E379B" w:rsidP="00CE7546">
      <w:pPr>
        <w:spacing w:after="0" w:line="240" w:lineRule="auto"/>
      </w:pPr>
      <w:r>
        <w:separator/>
      </w:r>
    </w:p>
  </w:endnote>
  <w:endnote w:type="continuationSeparator" w:id="0">
    <w:p w14:paraId="48CBF34F" w14:textId="77777777" w:rsidR="007E379B" w:rsidRDefault="007E379B" w:rsidP="00CE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4672" w14:textId="77777777" w:rsidR="00412532" w:rsidRDefault="00412532" w:rsidP="00412532">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3B73D39E" w14:textId="63522181" w:rsidR="002F6D91" w:rsidRPr="00412532" w:rsidRDefault="00412532" w:rsidP="00412532">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A3162" w14:textId="77777777" w:rsidR="007E379B" w:rsidRDefault="007E379B" w:rsidP="00CE7546">
      <w:pPr>
        <w:spacing w:after="0" w:line="240" w:lineRule="auto"/>
      </w:pPr>
      <w:r>
        <w:separator/>
      </w:r>
    </w:p>
  </w:footnote>
  <w:footnote w:type="continuationSeparator" w:id="0">
    <w:p w14:paraId="01956668" w14:textId="77777777" w:rsidR="007E379B" w:rsidRDefault="007E379B" w:rsidP="00CE7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145"/>
    <w:multiLevelType w:val="hybridMultilevel"/>
    <w:tmpl w:val="06C2C37A"/>
    <w:lvl w:ilvl="0" w:tplc="F7AC3FDE">
      <w:start w:val="1"/>
      <w:numFmt w:val="decimal"/>
      <w:lvlText w:val="%1."/>
      <w:lvlJc w:val="left"/>
      <w:pPr>
        <w:ind w:left="2430" w:hanging="360"/>
      </w:pPr>
      <w:rPr>
        <w:i w:val="0"/>
        <w:strike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34014EB2"/>
    <w:multiLevelType w:val="hybridMultilevel"/>
    <w:tmpl w:val="1D882992"/>
    <w:lvl w:ilvl="0" w:tplc="F7AC3FDE">
      <w:start w:val="1"/>
      <w:numFmt w:val="decimal"/>
      <w:lvlText w:val="%1."/>
      <w:lvlJc w:val="left"/>
      <w:pPr>
        <w:ind w:left="1440" w:hanging="360"/>
      </w:pPr>
      <w:rPr>
        <w:i w:val="0"/>
        <w:strike w:val="0"/>
      </w:rPr>
    </w:lvl>
    <w:lvl w:ilvl="1" w:tplc="4E50AE5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07550E"/>
    <w:multiLevelType w:val="hybridMultilevel"/>
    <w:tmpl w:val="E4644AF8"/>
    <w:lvl w:ilvl="0" w:tplc="1C3A48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42"/>
    <w:rsid w:val="00252842"/>
    <w:rsid w:val="00263695"/>
    <w:rsid w:val="00290B5B"/>
    <w:rsid w:val="00412532"/>
    <w:rsid w:val="00461FBD"/>
    <w:rsid w:val="0051115A"/>
    <w:rsid w:val="007E379B"/>
    <w:rsid w:val="008F3EEC"/>
    <w:rsid w:val="009104E5"/>
    <w:rsid w:val="0092175E"/>
    <w:rsid w:val="009A5483"/>
    <w:rsid w:val="00C912A1"/>
    <w:rsid w:val="00CE7546"/>
    <w:rsid w:val="00FB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6FA1"/>
  <w15:chartTrackingRefBased/>
  <w15:docId w15:val="{4DDCFB87-0386-478A-9E54-7A161D9A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842"/>
  </w:style>
  <w:style w:type="paragraph" w:styleId="Footer">
    <w:name w:val="footer"/>
    <w:basedOn w:val="Normal"/>
    <w:link w:val="FooterChar"/>
    <w:uiPriority w:val="99"/>
    <w:unhideWhenUsed/>
    <w:rsid w:val="00252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842"/>
  </w:style>
  <w:style w:type="paragraph" w:styleId="ListParagraph">
    <w:name w:val="List Paragraph"/>
    <w:basedOn w:val="Normal"/>
    <w:uiPriority w:val="34"/>
    <w:qFormat/>
    <w:rsid w:val="008F3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8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37384-7EA0-4621-A43C-5E1817603018}">
  <ds:schemaRefs>
    <ds:schemaRef ds:uri="http://schemas.microsoft.com/sharepoint/v3/contenttype/forms"/>
  </ds:schemaRefs>
</ds:datastoreItem>
</file>

<file path=customXml/itemProps2.xml><?xml version="1.0" encoding="utf-8"?>
<ds:datastoreItem xmlns:ds="http://schemas.openxmlformats.org/officeDocument/2006/customXml" ds:itemID="{6A3A9A08-7949-4E48-8D09-8D3FF380F5F3}">
  <ds:schemaRefs>
    <ds:schemaRef ds:uri="http://www.w3.org/XML/1998/namespace"/>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d11ed100-aab4-43e8-a9fe-d640c61dbb79"/>
    <ds:schemaRef ds:uri="http://schemas.microsoft.com/office/2006/metadata/properties"/>
  </ds:schemaRefs>
</ds:datastoreItem>
</file>

<file path=customXml/itemProps3.xml><?xml version="1.0" encoding="utf-8"?>
<ds:datastoreItem xmlns:ds="http://schemas.openxmlformats.org/officeDocument/2006/customXml" ds:itemID="{DD17C0BD-A4F4-4C16-BF0A-B5122F4DD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Williams</dc:creator>
  <cp:keywords>Unrestricted</cp:keywords>
  <dc:description/>
  <cp:lastModifiedBy>Jefferson, Xavier K (US)</cp:lastModifiedBy>
  <cp:revision>6</cp:revision>
  <dcterms:created xsi:type="dcterms:W3CDTF">2019-09-03T21:50:00Z</dcterms:created>
  <dcterms:modified xsi:type="dcterms:W3CDTF">2019-09-07T17:56:00Z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0x0101007631B0B477A4104285A6B57D86E7A801</vt:lpwstr>
  </property>
  <property fmtid="{D5CDD505-2E9C-101B-9397-08002B2CF9AE}" pid="3" name="LM SIP Document Sensitivity">
    <vt:lpwstr/>
  </property>
  <property fmtid="{D5CDD505-2E9C-101B-9397-08002B2CF9AE}" pid="4" name="Document Author">
    <vt:lpwstr>US\e349541</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_x000d_
_x000d_
</vt:lpwstr>
  </property>
  <property fmtid="{D5CDD505-2E9C-101B-9397-08002B2CF9AE}" pid="13" name="ExpCountry">
    <vt:lpwstr/>
  </property>
  <property fmtid="{D5CDD505-2E9C-101B-9397-08002B2CF9AE}" pid="14" name="sip_cache_lock_id">
    <vt:lpwstr>18637037522010000000</vt:lpwstr>
  </property>
  <property fmtid="{D5CDD505-2E9C-101B-9397-08002B2CF9AE}" pid="15" name="lmss_lock_sip_cache">
    <vt:lpwstr>;#Unrestricted;#~#~#~#~#</vt:lpwstr>
  </property>
  <property fmtid="{D5CDD505-2E9C-101B-9397-08002B2CF9AE}" pid="16" name="office_lock_sip_cache">
    <vt:lpwstr>;#Unrestricted;#~#~#~#~#</vt:lpwstr>
  </property>
</Properties>
</file>